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0" w:rsidRDefault="007A2CB4" w:rsidP="00052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F70B0" w:rsidRDefault="007A2CB4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F70B0" w:rsidRDefault="007A2CB4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F70B0" w:rsidRDefault="007A2CB4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0B0" w:rsidRPr="00406F18" w:rsidRDefault="005F70B0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376FB3" w:rsidRPr="00406F18">
        <w:rPr>
          <w:rFonts w:ascii="Times New Roman" w:hAnsi="Times New Roman" w:cs="Times New Roman"/>
          <w:sz w:val="24"/>
          <w:szCs w:val="24"/>
          <w:lang w:val="sr-Cyrl-CS"/>
        </w:rPr>
        <w:t>468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5F70B0" w:rsidRPr="00406F18" w:rsidRDefault="00710485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376FB3" w:rsidRPr="00406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F70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F70B0" w:rsidRDefault="007A2CB4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F70B0" w:rsidRDefault="005F70B0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0B2A" w:rsidRDefault="00B40B2A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0F54" w:rsidRPr="00406F18" w:rsidRDefault="00140F54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7A2CB4" w:rsidP="00052F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5F70B0" w:rsidRPr="00406F18" w:rsidRDefault="00376FB3" w:rsidP="00052FDC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5F70B0" w:rsidRPr="00406F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F70B0" w:rsidRPr="00406F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0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0B0" w:rsidRDefault="007A2CB4" w:rsidP="00052FD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7104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61E31" w:rsidRPr="00406F18" w:rsidRDefault="00461E31" w:rsidP="00140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5F70B0" w:rsidP="00052FD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76FB3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1877" w:rsidRPr="00406F18" w:rsidRDefault="00BF18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Milutin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Mrkonjić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1877" w:rsidRPr="00406F18" w:rsidRDefault="00BF18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1877" w:rsidRPr="00406F18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7104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Bošnjak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Mirković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Mujo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Muković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Suzana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Spasojević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Vučeta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Tošković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F1877" w:rsidRDefault="00376FB3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Radičević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Jovice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</w:t>
      </w:r>
      <w:r w:rsidR="007361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Velimir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Stanojević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Jovanovića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Katarine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D802B4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Vučete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Tošković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736112" w:rsidRDefault="00736112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="0058454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njegov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1877" w:rsidRPr="00406F18" w:rsidRDefault="00BF1877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7B77" w:rsidRDefault="00557B77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Dragojević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Matić</w:t>
      </w:r>
      <w:r w:rsidR="00BF18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F1877" w:rsidRPr="00406F18" w:rsidRDefault="00BF1877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2B4" w:rsidRPr="00406F18" w:rsidRDefault="005F70B0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A56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Damnjanović</w:t>
      </w:r>
      <w:r w:rsidR="00C15E4D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Jovanka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Atanacković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Milivojević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kabinetu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potpredsednika</w:t>
      </w:r>
      <w:r w:rsidR="00557B77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Darinka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Đuran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rukovodilac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objedinjene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Milić</w:t>
      </w:r>
      <w:r w:rsidR="00406A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proofErr w:type="spellEnd"/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Svetlana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06A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drumski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Stević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Ledenčan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Leposava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Sojić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vodni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Veljko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Svetlana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Adžemović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0043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A0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geodetskog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736112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Borko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Drašković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047F5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802B4" w:rsidRPr="00406F18" w:rsidRDefault="00D802B4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70B0" w:rsidRPr="00406F18" w:rsidRDefault="007B1039" w:rsidP="006F76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736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5F70B0" w:rsidRPr="00406F1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F70B0" w:rsidRPr="00406F18" w:rsidRDefault="005F70B0" w:rsidP="00052F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2FDC" w:rsidRDefault="007A2CB4" w:rsidP="000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052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052FDC" w:rsidRPr="00376FB3" w:rsidRDefault="00052FDC" w:rsidP="000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ozakonjenju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351-2964/15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FDC" w:rsidRPr="00376FB3" w:rsidRDefault="00052FDC" w:rsidP="00052FD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premeru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952-2635/15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prijavljivanju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zakupaca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stanovima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zadužbina</w:t>
      </w:r>
      <w:r w:rsidR="00052FDC"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fondacija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360-2812/15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trgovačkom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brodarstvu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011-2650/15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>);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posade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tahografima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344-2965/15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52FDC" w:rsidRPr="00376FB3" w:rsidRDefault="007A2CB4" w:rsidP="00052FDC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međudržavnog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pratećim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Ljubovija</w:t>
      </w:r>
      <w:r w:rsidR="00052FDC" w:rsidRPr="00376F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Bratunac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011-2729/15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52FDC" w:rsidRPr="00376FB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FDC" w:rsidRPr="00376FB3" w:rsidRDefault="00052FDC" w:rsidP="0005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DC" w:rsidRPr="00376FB3" w:rsidRDefault="00052FDC" w:rsidP="00581953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7.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376FB3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Protokola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vazdušnom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između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Savezne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Vlade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Savezne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Republike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Jugoslavije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Švajcarskog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Federalnog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bCs/>
          <w:sz w:val="24"/>
          <w:szCs w:val="24"/>
          <w:lang w:val="sr-Cyrl-CS"/>
        </w:rPr>
        <w:t>Saveta</w:t>
      </w:r>
      <w:r w:rsidRPr="00376FB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343-2536/15 </w:t>
      </w:r>
      <w:proofErr w:type="gramStart"/>
      <w:r w:rsidR="007A2CB4">
        <w:rPr>
          <w:rFonts w:ascii="Times New Roman" w:hAnsi="Times New Roman" w:cs="Times New Roman"/>
          <w:sz w:val="24"/>
          <w:szCs w:val="24"/>
          <w:lang w:val="sr-Cyrl-CS"/>
        </w:rPr>
        <w:t>od</w:t>
      </w:r>
      <w:proofErr w:type="gramEnd"/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376FB3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B3BE3" w:rsidRPr="002B3BE3" w:rsidRDefault="002B3BE3" w:rsidP="002B3BE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BE3" w:rsidRPr="002B3BE3" w:rsidRDefault="002B3BE3" w:rsidP="002B3BE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7F5" w:rsidRPr="00140F54" w:rsidRDefault="007A2CB4" w:rsidP="00140F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000430" w:rsidRPr="00140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00430" w:rsidRPr="00140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00430" w:rsidRPr="00140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00430" w:rsidRPr="00140F5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000430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00430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ozakonjenju</w:t>
      </w:r>
      <w:proofErr w:type="spellEnd"/>
      <w:r w:rsidR="00052FDC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objekata</w:t>
      </w:r>
      <w:r w:rsidR="00000430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61E31" w:rsidRPr="00140F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140F54" w:rsidRDefault="00140F54" w:rsidP="00140F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2CD" w:rsidRPr="009102CD" w:rsidRDefault="009102CD" w:rsidP="00140F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7F5" w:rsidRPr="00B40B2A" w:rsidRDefault="007A2CB4" w:rsidP="009252B4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8B19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izgrađenih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zvaničnim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geodetskog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ukupan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dokaza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500 </w:t>
      </w:r>
      <w:r w:rsidR="008B1983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shodno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intencija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ozakoni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legalne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tokove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državu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karakter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otklanjaju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uočene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nedostatke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ometali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legalizaciju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većeg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06F1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važećem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66695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konačnim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rešavanjem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imovinsko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pravnih</w:t>
      </w:r>
      <w:proofErr w:type="spellEnd"/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44655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važećeg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461E3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upotrebne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ozakonjenju</w:t>
      </w:r>
      <w:proofErr w:type="spellEnd"/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zatečenom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elaboratom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geodetskih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Novo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ukidanje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uređivanje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građevinskog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propisana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praveći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porodičnih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stambenih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stambenim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Visina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takse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zavisnosti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površine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izgrađenog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taksa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namenjene</w:t>
      </w:r>
      <w:r w:rsidR="00D05527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znatno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DC4AF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porodično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stanove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15D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stambenim</w:t>
      </w:r>
      <w:r w:rsidR="00A2307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A2307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Kaznene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novčane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uvedene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kazne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prestup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prestaju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3D392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D114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2013.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objektima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izgrađenim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46651F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kategoriji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771 000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predvideo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evidentiranja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izgrađenih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prvim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procenama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800 000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predvideo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EB1CB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svojine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izgrađenim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okončali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450D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uđu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ozakonjenja</w:t>
      </w:r>
      <w:proofErr w:type="spellEnd"/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takvih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nametnuti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prilične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jedinicama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93699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ostavljena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pomoćnog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činiti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osnivač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9E2ECB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donositi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rušenju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E32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4E32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4E32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307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7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hoće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ozakoni</w:t>
      </w:r>
      <w:r w:rsidR="00D947C1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službenoj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9F0" w:rsidRDefault="00052FDC" w:rsidP="00B40B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0B2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B3878" w:rsidRPr="00B40B2A" w:rsidRDefault="007A2CB4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1B4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stiglo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03CD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00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801B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2CD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mišnjenje</w:t>
      </w:r>
      <w:proofErr w:type="spellEnd"/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navrata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5E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dostavljalo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56645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dostupan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sajtu</w:t>
      </w:r>
      <w:proofErr w:type="spellEnd"/>
      <w:r w:rsidR="00B93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54799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odnositi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obrazloženja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39F0" w:rsidRDefault="00B939F0" w:rsidP="00B40B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11FE" w:rsidRPr="00B40B2A" w:rsidRDefault="007A2CB4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9922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9922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9922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B387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43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sprovoditi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7B36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tretirati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zatvoru</w:t>
      </w:r>
      <w:r w:rsidR="009D5F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legalizaciju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visinu</w:t>
      </w:r>
      <w:r w:rsidR="00556E7A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takse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5A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naplaćivati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ozakonjenja</w:t>
      </w:r>
      <w:proofErr w:type="spellEnd"/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654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E654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zatražili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61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stvarno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E654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silom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prilika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morali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nađu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561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velikih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svesno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gradili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014B6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termina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pojašnjenje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zonama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782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dozvoljava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nadziđivanje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etaže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zonama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0E20F2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niže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spratnosti</w:t>
      </w:r>
      <w:proofErr w:type="spellEnd"/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nadziđivanje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CE11FE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etaže</w:t>
      </w:r>
      <w:r w:rsidR="001319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višespratnicama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1550B4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unese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nalagala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uređenje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fasade</w:t>
      </w:r>
      <w:r w:rsidR="000B37AC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C5F88" w:rsidRPr="00B40B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1953" w:rsidRPr="00140F54" w:rsidRDefault="00131953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0EA" w:rsidRPr="00677025" w:rsidRDefault="007A2CB4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0B37AC" w:rsidRPr="004E14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550B4" w:rsidRPr="004E1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C5F88" w:rsidRPr="00B40B2A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0B37AC" w:rsidRPr="006770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1550B4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popis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nezakonitih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1550B4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inspektori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morati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izlaze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teren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143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143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donesu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rušenju</w:t>
      </w:r>
      <w:r w:rsidR="00866B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 w:rsidR="00AC5F8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</w:t>
      </w:r>
      <w:r w:rsidR="00743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5F88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uveliko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FD5242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inspektorima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izlaziti</w:t>
      </w:r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F2143C" w:rsidRPr="00677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tiče</w:t>
      </w:r>
      <w:proofErr w:type="spellEnd"/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zatvoru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D5242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 w:rsidR="00743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precizirano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nadležni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ponaša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F2143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F2143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6B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zgradi</w:t>
      </w:r>
      <w:proofErr w:type="spellEnd"/>
      <w:r w:rsidR="009A03FB" w:rsidRPr="00844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A158A" w:rsidRPr="00844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A158A" w:rsidRPr="00844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ozakonjeni</w:t>
      </w:r>
      <w:r w:rsidR="006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rušenje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celog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tiče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trudio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prilagodi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trenutnoj</w:t>
      </w:r>
      <w:r w:rsidR="00AA158A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platežnoj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većine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9A03FB" w:rsidRPr="00677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03F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F6277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277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F6277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6277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geodetskom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snimku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nanet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katastarsku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podlogu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6771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geodetskih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ozakonjenja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prijavljuju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upisali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B5B51" w:rsidRPr="0067702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</w:t>
      </w:r>
      <w:r>
        <w:rPr>
          <w:rFonts w:ascii="Times New Roman" w:hAnsi="Times New Roman" w:cs="Times New Roman"/>
          <w:sz w:val="24"/>
          <w:szCs w:val="24"/>
          <w:lang w:val="sr-Cyrl-RS"/>
        </w:rPr>
        <w:t>ošenje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pokreću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="00DB5B51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ostoji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prijavljivanja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vlasnike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podzemnih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instalacija</w:t>
      </w:r>
      <w:proofErr w:type="spellEnd"/>
      <w:r w:rsidR="00B154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vidljivi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satelitskom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snimku</w:t>
      </w:r>
      <w:proofErr w:type="spellEnd"/>
      <w:r w:rsidR="00937007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Komentarišući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0B37AC" w:rsidRPr="006770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idealan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neophodan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9042C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4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844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ugušena</w:t>
      </w:r>
      <w:proofErr w:type="spellEnd"/>
      <w:r w:rsidR="00844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44C8F">
        <w:rPr>
          <w:rFonts w:ascii="Times New Roman" w:hAnsi="Times New Roman" w:cs="Times New Roman"/>
          <w:sz w:val="24"/>
          <w:szCs w:val="24"/>
        </w:rPr>
        <w:t xml:space="preserve"> 1</w:t>
      </w:r>
      <w:r w:rsidR="00844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miliona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nezakonito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izgrađenih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pravičnosti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tretirati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najugroženiji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slučajevi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4994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EE4994" w:rsidRPr="00677025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proofErr w:type="gram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eksplicitno</w:t>
      </w:r>
      <w:proofErr w:type="spellEnd"/>
      <w:r w:rsidR="0059042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="0059042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9042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predviđenu</w:t>
      </w:r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taksu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ozakonjenje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porodične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kvadrata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plaćati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primaoci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samohrani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apravljena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gradili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gradili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tržište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komercijal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B15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predhodila</w:t>
      </w:r>
      <w:proofErr w:type="spellEnd"/>
      <w:r w:rsidR="00B15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0505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6B0B5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r w:rsidR="006B0B58" w:rsidRPr="0067702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AF7973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Objašnjavajući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ozakonjenje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terminom</w:t>
      </w:r>
      <w:r w:rsidR="00AF7973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suštinski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raskid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pojmom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legalizacija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podrazumevala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upotrebne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bespravni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9042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ozakonjenju</w:t>
      </w:r>
      <w:proofErr w:type="spellEnd"/>
      <w:r w:rsidR="005D581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nadziđivanje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etaže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višespratnicama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snositi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obavežu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urede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fasade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odličan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razmišljao</w:t>
      </w:r>
      <w:r w:rsidR="00C95D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561A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domenu</w:t>
      </w:r>
      <w:proofErr w:type="spellEnd"/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energetske</w:t>
      </w:r>
      <w:proofErr w:type="spellEnd"/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sanacije</w:t>
      </w:r>
      <w:proofErr w:type="spellEnd"/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1B57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95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proofErr w:type="spellEnd"/>
      <w:r w:rsidR="00DD70EA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suštinsko</w:t>
      </w:r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</w:t>
      </w:r>
      <w:r>
        <w:rPr>
          <w:rFonts w:ascii="Times New Roman" w:hAnsi="Times New Roman" w:cs="Times New Roman"/>
          <w:sz w:val="24"/>
          <w:szCs w:val="24"/>
          <w:lang w:val="sr-Cyrl-RS"/>
        </w:rPr>
        <w:t>enje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833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224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="0091224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energetsku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efikasnost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uredi</w:t>
      </w:r>
      <w:proofErr w:type="spellEnd"/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501B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8342B" w:rsidRPr="00677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0C47" w:rsidRPr="00677025" w:rsidRDefault="006A0C47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885" w:rsidRPr="00677025" w:rsidRDefault="007A2CB4" w:rsidP="006F76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B387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0B387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B387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025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25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2543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="000B3878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0B3878" w:rsidRPr="006770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2B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78342B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Dragojević</w:t>
      </w:r>
      <w:r w:rsidR="00E16885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6885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E16885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E16885" w:rsidRPr="00677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3336" w:rsidRDefault="00BE3336" w:rsidP="006A0C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FDC" w:rsidRPr="00677025" w:rsidRDefault="007A2CB4" w:rsidP="006F76D3">
      <w:pPr>
        <w:pStyle w:val="NoSpacing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501BB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501B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0501BB" w:rsidRPr="00677025">
        <w:rPr>
          <w:rFonts w:ascii="Times New Roman" w:hAnsi="Times New Roman" w:cs="Times New Roman"/>
          <w:sz w:val="24"/>
          <w:szCs w:val="24"/>
        </w:rPr>
        <w:t xml:space="preserve"> 2</w:t>
      </w:r>
      <w:r w:rsidR="00E47A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E47A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47A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052FDC" w:rsidRPr="0067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ozakonjenju</w:t>
      </w:r>
      <w:proofErr w:type="spellEnd"/>
      <w:r w:rsidR="0078342B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052FDC" w:rsidRPr="00677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24D52" w:rsidRPr="00677025" w:rsidRDefault="00624D52" w:rsidP="006A0C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3EEF" w:rsidRPr="00677025" w:rsidRDefault="00624D52" w:rsidP="006F76D3">
      <w:pPr>
        <w:pStyle w:val="NoSpacing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70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3EEF" w:rsidRDefault="00F33EEF" w:rsidP="006A0C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E31" w:rsidRPr="00C400D9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državnom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premeru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katastru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6EF5" w:rsidRPr="00461E31" w:rsidRDefault="00936EF5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7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697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Drašković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44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4D59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geodetski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42B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reformama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podrazumevaju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novije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modernije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sofisticiranije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RS"/>
        </w:rPr>
        <w:t>softvere</w:t>
      </w:r>
      <w:proofErr w:type="spellEnd"/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metode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ubrzaju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tražene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procese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usklađuju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donetim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skraćuju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ubrzali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kancelarijsko</w:t>
      </w:r>
      <w:proofErr w:type="spellEnd"/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obradu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ličnostima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RS"/>
        </w:rPr>
        <w:t>jedoobrazan</w:t>
      </w:r>
      <w:proofErr w:type="spellEnd"/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efikasniji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geodetskim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 w:rsidR="00554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E31" w:rsidRPr="00777603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1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0F1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razmotreni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prihvaćeni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61E31" w:rsidRPr="00D17BA6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E54E1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je</w:t>
      </w:r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u</w:t>
      </w:r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0501BB"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0501BB" w:rsidRPr="00D17B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47A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4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E47A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47A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47A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da</w:t>
      </w:r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da</w:t>
      </w:r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D17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D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17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premeru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F37CF5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7CF5" w:rsidRPr="00D17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7CF5" w:rsidRPr="00D17BA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61E31" w:rsidRPr="00D17BA6" w:rsidRDefault="00461E31" w:rsidP="00D17B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D17BA6" w:rsidRDefault="00461E31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7B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50FD" w:rsidRDefault="003950FD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50FD" w:rsidRDefault="003950FD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C400D9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61E31" w:rsidRPr="00C400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prijavljivanju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evidentiranju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zakupaca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neodređeno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vreme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stanovima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svojini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zadužbina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fondacija</w:t>
      </w:r>
      <w:r w:rsid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C400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6EF5" w:rsidRPr="00461E31" w:rsidRDefault="00936EF5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0EA6" w:rsidRDefault="00257EDC" w:rsidP="008E54E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8E54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Milić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36EF5" w:rsidRPr="00936E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36EF5" w:rsidRPr="003F31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</w:t>
      </w:r>
      <w:proofErr w:type="spellEnd"/>
      <w:r w:rsidR="00936EF5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936EF5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36E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6E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936E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specifičnost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našem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poretku</w:t>
      </w:r>
      <w:r w:rsidR="001B57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njega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pokrenuti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podstanara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Naglašena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konciznost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D4C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pratećim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obrascem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propisan</w:t>
      </w:r>
      <w:r w:rsidR="000818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evidentiranja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Sprovedena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prihvaćene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25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vodilo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primedbama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Poverenika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ličnostima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tačne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zakupaca</w:t>
      </w:r>
      <w:r w:rsidR="00C502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F20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procenjeni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efekti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rešilo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65B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navedeno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5B78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iskustvo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 (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Crna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Gora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Hrvatska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Slovenija</w:t>
      </w:r>
      <w:r w:rsidR="00002EAF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A2CB4" w:rsidP="008E54E1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72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002EAF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02EAF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02EAF" w:rsidRPr="003F31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172E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72E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prijavljivanju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zakupaca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zadužbina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fondacija</w:t>
      </w:r>
      <w:r w:rsidR="00F37CF5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501BB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501BB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501BB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0501BB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37CF5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F37CF5" w:rsidRPr="003F31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461E31" w:rsidP="0094762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94762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E7B" w:rsidRPr="003F31E6" w:rsidRDefault="00A70E7B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C400D9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461E31" w:rsidRPr="00C400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61E31" w:rsidRPr="00C400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61E31" w:rsidRPr="00C400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61E31" w:rsidRPr="00461E31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trgovačkom</w:t>
      </w:r>
      <w:r w:rsidR="00461E31" w:rsidRP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brodarstvu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40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61E31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556D" w:rsidRPr="003F31E6" w:rsidRDefault="0052556D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A2CB4" w:rsidP="0094762D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0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730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730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Leposava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Sojić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1977.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unutrašnjoj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plovidbeno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agencijske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susvojine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brodsku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hipoteku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konsultovane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osiguravajućih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agentura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vozara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zadovoljilo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posedovanja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02EAF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polaganje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evidentirati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jedinsvetnom</w:t>
      </w:r>
      <w:proofErr w:type="spellEnd"/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F135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agencijskih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susvojine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podelom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karate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kupoprodaje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konkurenciju</w:t>
      </w:r>
      <w:r w:rsidR="00EA629D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A2CB4" w:rsidP="0094762D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 w:rsidR="007B46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7B46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B46CC" w:rsidRPr="007B46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trgovačkom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brodarstvu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01BB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257EDC" w:rsidP="0094762D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4762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331" w:rsidRPr="00461E31" w:rsidRDefault="008633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461E31" w:rsidRPr="00461E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radnom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vremenu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posade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vozila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tahografima</w:t>
      </w:r>
      <w:proofErr w:type="spellEnd"/>
      <w:r w:rsid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3331" w:rsidRPr="00461E31" w:rsidRDefault="008633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7A2CB4" w:rsidP="0094762D">
      <w:pPr>
        <w:pStyle w:val="NoSpacing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="00257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Ledenčan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EDC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Uredbama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odmora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tahografa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ratifikovanim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pauza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odmora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3,5 </w:t>
      </w:r>
      <w:r>
        <w:rPr>
          <w:rFonts w:ascii="Times New Roman" w:hAnsi="Times New Roman" w:cs="Times New Roman"/>
          <w:sz w:val="24"/>
          <w:szCs w:val="24"/>
          <w:lang w:val="sr-Cyrl-RS"/>
        </w:rPr>
        <w:t>tone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autobusima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specifična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E7173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predvideo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poslodavca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konkurentnost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trasportnih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tahografa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srazmernih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težini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harmonizacije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531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prostorijama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prevoznika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pooštrava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proširuju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ugradnje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brzine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periodična</w:t>
      </w:r>
      <w:r w:rsidR="008E6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tehničara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3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radionicama</w:t>
      </w:r>
      <w:r w:rsidR="00F37CF5" w:rsidRPr="003F3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pouzdanijeg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tahografe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tačnije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E14A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4AF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postigla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uklađenost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2014</w:t>
      </w:r>
      <w:r w:rsidR="00D126E1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tahografima</w:t>
      </w:r>
      <w:proofErr w:type="spellEnd"/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obavezujuće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61E31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61E31" w:rsidRPr="003F31E6" w:rsidRDefault="00461E31" w:rsidP="003F31E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1E31" w:rsidRPr="003F31E6" w:rsidRDefault="00461E31" w:rsidP="004523C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E683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523CE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je</w:t>
      </w:r>
      <w:r w:rsidR="00BE7173" w:rsidRPr="003F31E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u</w:t>
      </w:r>
      <w:r w:rsidR="00BE7173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BE7173" w:rsidRPr="003F31E6">
        <w:rPr>
          <w:rFonts w:ascii="Times New Roman" w:hAnsi="Times New Roman" w:cs="Times New Roman"/>
          <w:sz w:val="24"/>
          <w:szCs w:val="24"/>
        </w:rPr>
        <w:t xml:space="preserve"> 2</w:t>
      </w:r>
      <w:r w:rsidR="007B46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CB4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B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7B46CC" w:rsidRPr="007B46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46CC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B46CC" w:rsidRPr="007B46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B4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da</w:t>
      </w:r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da</w:t>
      </w:r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F31E6">
        <w:rPr>
          <w:rFonts w:ascii="Times New Roman" w:hAnsi="Times New Roman" w:cs="Times New Roman"/>
          <w:sz w:val="24"/>
          <w:szCs w:val="24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</w:rPr>
        <w:t>o</w:t>
      </w: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vremenu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posade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RS"/>
        </w:rPr>
        <w:t>tahografima</w:t>
      </w:r>
      <w:proofErr w:type="spellEnd"/>
      <w:r w:rsidR="0071048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0485" w:rsidRPr="003F3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10485" w:rsidRPr="003F31E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61E31" w:rsidRPr="003F31E6" w:rsidRDefault="00461E31" w:rsidP="003F3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3F31E6" w:rsidRDefault="00461E31" w:rsidP="004523CE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31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E68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523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Default="00461E31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50BA" w:rsidRPr="00461E31" w:rsidRDefault="00A050BA" w:rsidP="0046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Bosne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Hercegovine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izgradnji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međudržavnog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mosta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preko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reke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Drine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pratećim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objektima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lokaciji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Ljubovija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Bratunac</w:t>
      </w:r>
      <w:proofErr w:type="spellEnd"/>
      <w:r w:rsidR="00303736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03736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710485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710485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303736" w:rsidRDefault="00303736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50BA" w:rsidRDefault="00A050BA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736" w:rsidRPr="00A00A15" w:rsidRDefault="007A2CB4" w:rsidP="004523C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2.</w:t>
      </w:r>
      <w:r w:rsidR="00A05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780F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780F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0373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međudržavnog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mosta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lokaciji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Ljubovija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Bratunac</w:t>
      </w:r>
      <w:proofErr w:type="spellEnd"/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0485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10485"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03736" w:rsidRPr="00A00A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A00A15" w:rsidRDefault="00461E31" w:rsidP="0043769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61E31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B15262" w:rsidRDefault="007A2CB4" w:rsidP="00461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Sedma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dnevog</w:t>
      </w:r>
      <w:proofErr w:type="spellEnd"/>
      <w:r w:rsidR="00461E31" w:rsidRPr="00B15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61E31" w:rsidRPr="00B152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potvrđivanju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Protokola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Sporazuma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vazdušnom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saobraćaju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između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Savezne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Savezne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Jugoslavije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Švajcarskog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Federalnog</w:t>
      </w:r>
      <w:r w:rsidR="00461E31" w:rsidRP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Saveta</w:t>
      </w:r>
      <w:r w:rsid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B152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461E31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50BA" w:rsidRPr="00A00A15" w:rsidRDefault="00A050BA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A00A15" w:rsidRDefault="00461E31" w:rsidP="001E190B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1E19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Adžemović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BE7173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050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potpisanog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2002.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4C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avioprevoznik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Start"/>
      <w:r w:rsidRPr="00A00A1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05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 xml:space="preserve">Serbia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>Etihad Airways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 xml:space="preserve">share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aranžmana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aranžmana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podele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koda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liniji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redovnog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Cirih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A2CB4">
        <w:rPr>
          <w:rFonts w:ascii="Times New Roman" w:hAnsi="Times New Roman" w:cs="Times New Roman"/>
          <w:sz w:val="24"/>
          <w:szCs w:val="24"/>
          <w:lang w:val="sr-Cyrl-CS"/>
        </w:rPr>
        <w:t>zaiteresovanost</w:t>
      </w:r>
      <w:proofErr w:type="spellEnd"/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>Air</w:t>
      </w:r>
      <w:r w:rsidR="00747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0A15">
        <w:rPr>
          <w:rFonts w:ascii="Times New Roman" w:hAnsi="Times New Roman" w:cs="Times New Roman"/>
          <w:sz w:val="24"/>
          <w:szCs w:val="24"/>
        </w:rPr>
        <w:t>Serbia</w:t>
      </w:r>
      <w:r w:rsidR="00394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komercijalnih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tržišnih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letova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zakup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vazduhoplova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obema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ugovornima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stranama</w:t>
      </w:r>
      <w:r w:rsidR="00EC758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758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iznajme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neograničeni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vazduhoplova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posade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komercijalne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aranžmane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liberalizacije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61E31" w:rsidRPr="00A00A15" w:rsidRDefault="007A2CB4" w:rsidP="001E190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90616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790616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790616" w:rsidRPr="00A00A15">
        <w:rPr>
          <w:rFonts w:ascii="Times New Roman" w:hAnsi="Times New Roman" w:cs="Times New Roman"/>
          <w:sz w:val="24"/>
          <w:szCs w:val="24"/>
        </w:rPr>
        <w:t>,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90616" w:rsidRPr="00A00A15">
        <w:rPr>
          <w:rFonts w:ascii="Times New Roman" w:hAnsi="Times New Roman" w:cs="Times New Roman"/>
          <w:sz w:val="24"/>
          <w:szCs w:val="24"/>
        </w:rPr>
        <w:t>,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61E31" w:rsidRPr="00A0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Vlade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Jugoslavije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Švajcarskog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Federalnog</w:t>
      </w:r>
      <w:r w:rsidR="00461E31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03736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461E31" w:rsidRPr="00A00A15" w:rsidRDefault="00461E31" w:rsidP="00A00A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69A" w:rsidRPr="00A00A15" w:rsidRDefault="00461E31" w:rsidP="0043769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A1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43769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376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769A" w:rsidRPr="00A00A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0616" w:rsidRPr="00DE3688" w:rsidRDefault="00790616" w:rsidP="00DE36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190B" w:rsidRPr="00DE3688" w:rsidRDefault="001E190B" w:rsidP="00DE36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616" w:rsidRPr="00394CFA" w:rsidRDefault="00790616" w:rsidP="007906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</w:p>
    <w:p w:rsidR="00790616" w:rsidRPr="00394CFA" w:rsidRDefault="00790616" w:rsidP="007906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*      </w:t>
      </w:r>
      <w:r w:rsidRPr="00394CF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94C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*</w:t>
      </w:r>
    </w:p>
    <w:p w:rsidR="00461E31" w:rsidRPr="00963914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Default="007A2CB4" w:rsidP="00647B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0616" w:rsidRPr="00963914" w:rsidRDefault="00790616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1E31" w:rsidRPr="00461E31" w:rsidRDefault="007A2CB4" w:rsidP="00647B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0485">
        <w:rPr>
          <w:rFonts w:ascii="Times New Roman" w:hAnsi="Times New Roman" w:cs="Times New Roman"/>
          <w:sz w:val="24"/>
          <w:szCs w:val="24"/>
          <w:lang w:val="sr-Cyrl-CS"/>
        </w:rPr>
        <w:t>12.</w:t>
      </w:r>
      <w:r w:rsidR="00790616">
        <w:rPr>
          <w:rFonts w:ascii="Times New Roman" w:hAnsi="Times New Roman" w:cs="Times New Roman"/>
          <w:sz w:val="24"/>
          <w:szCs w:val="24"/>
        </w:rPr>
        <w:t>40</w:t>
      </w:r>
      <w:r w:rsidR="00710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sati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96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Default="00461E31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CFA" w:rsidRPr="00461E31" w:rsidRDefault="00394CFA" w:rsidP="0039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7A2CB4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61E31"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1E31" w:rsidRPr="00461E31" w:rsidRDefault="00461E31" w:rsidP="00461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461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CB4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F33EEF" w:rsidRPr="00C03BD0" w:rsidRDefault="00F33EEF" w:rsidP="00052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33EEF" w:rsidRPr="00C03BD0" w:rsidSect="00FE6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15" w:rsidRDefault="004F7315" w:rsidP="00FE6DAE">
      <w:pPr>
        <w:spacing w:after="0" w:line="240" w:lineRule="auto"/>
      </w:pPr>
      <w:r>
        <w:separator/>
      </w:r>
    </w:p>
  </w:endnote>
  <w:endnote w:type="continuationSeparator" w:id="0">
    <w:p w:rsidR="004F7315" w:rsidRDefault="004F7315" w:rsidP="00FE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4" w:rsidRDefault="007A2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8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DAE" w:rsidRDefault="00FE6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CB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6DAE" w:rsidRDefault="00FE6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4" w:rsidRDefault="007A2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15" w:rsidRDefault="004F7315" w:rsidP="00FE6DAE">
      <w:pPr>
        <w:spacing w:after="0" w:line="240" w:lineRule="auto"/>
      </w:pPr>
      <w:r>
        <w:separator/>
      </w:r>
    </w:p>
  </w:footnote>
  <w:footnote w:type="continuationSeparator" w:id="0">
    <w:p w:rsidR="004F7315" w:rsidRDefault="004F7315" w:rsidP="00FE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4" w:rsidRDefault="007A2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4" w:rsidRDefault="007A2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4" w:rsidRDefault="007A2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8E4"/>
    <w:multiLevelType w:val="hybridMultilevel"/>
    <w:tmpl w:val="213A1F2C"/>
    <w:lvl w:ilvl="0" w:tplc="7088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4067AE" w:tentative="1">
      <w:start w:val="1"/>
      <w:numFmt w:val="lowerLetter"/>
      <w:lvlText w:val="%2."/>
      <w:lvlJc w:val="left"/>
      <w:pPr>
        <w:ind w:left="1800" w:hanging="360"/>
      </w:pPr>
    </w:lvl>
    <w:lvl w:ilvl="2" w:tplc="10165B4E" w:tentative="1">
      <w:start w:val="1"/>
      <w:numFmt w:val="lowerRoman"/>
      <w:lvlText w:val="%3."/>
      <w:lvlJc w:val="right"/>
      <w:pPr>
        <w:ind w:left="2520" w:hanging="180"/>
      </w:pPr>
    </w:lvl>
    <w:lvl w:ilvl="3" w:tplc="266EB4C8" w:tentative="1">
      <w:start w:val="1"/>
      <w:numFmt w:val="decimal"/>
      <w:lvlText w:val="%4."/>
      <w:lvlJc w:val="left"/>
      <w:pPr>
        <w:ind w:left="3240" w:hanging="360"/>
      </w:pPr>
    </w:lvl>
    <w:lvl w:ilvl="4" w:tplc="DC6A8FCE" w:tentative="1">
      <w:start w:val="1"/>
      <w:numFmt w:val="lowerLetter"/>
      <w:lvlText w:val="%5."/>
      <w:lvlJc w:val="left"/>
      <w:pPr>
        <w:ind w:left="3960" w:hanging="360"/>
      </w:pPr>
    </w:lvl>
    <w:lvl w:ilvl="5" w:tplc="45229D12" w:tentative="1">
      <w:start w:val="1"/>
      <w:numFmt w:val="lowerRoman"/>
      <w:lvlText w:val="%6."/>
      <w:lvlJc w:val="right"/>
      <w:pPr>
        <w:ind w:left="4680" w:hanging="180"/>
      </w:pPr>
    </w:lvl>
    <w:lvl w:ilvl="6" w:tplc="3EC46DFC" w:tentative="1">
      <w:start w:val="1"/>
      <w:numFmt w:val="decimal"/>
      <w:lvlText w:val="%7."/>
      <w:lvlJc w:val="left"/>
      <w:pPr>
        <w:ind w:left="5400" w:hanging="360"/>
      </w:pPr>
    </w:lvl>
    <w:lvl w:ilvl="7" w:tplc="DD9A0D46" w:tentative="1">
      <w:start w:val="1"/>
      <w:numFmt w:val="lowerLetter"/>
      <w:lvlText w:val="%8."/>
      <w:lvlJc w:val="left"/>
      <w:pPr>
        <w:ind w:left="6120" w:hanging="360"/>
      </w:pPr>
    </w:lvl>
    <w:lvl w:ilvl="8" w:tplc="9F7CD2D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B0"/>
    <w:rsid w:val="00000430"/>
    <w:rsid w:val="00002EAF"/>
    <w:rsid w:val="00025435"/>
    <w:rsid w:val="000309BF"/>
    <w:rsid w:val="000501BB"/>
    <w:rsid w:val="000505BB"/>
    <w:rsid w:val="00052FDC"/>
    <w:rsid w:val="000561AC"/>
    <w:rsid w:val="0005661D"/>
    <w:rsid w:val="000818AB"/>
    <w:rsid w:val="000B1253"/>
    <w:rsid w:val="000B37AC"/>
    <w:rsid w:val="000B3878"/>
    <w:rsid w:val="000C0758"/>
    <w:rsid w:val="000C7A0D"/>
    <w:rsid w:val="000E20F2"/>
    <w:rsid w:val="000F17BF"/>
    <w:rsid w:val="00131953"/>
    <w:rsid w:val="00140F54"/>
    <w:rsid w:val="00154799"/>
    <w:rsid w:val="001550B4"/>
    <w:rsid w:val="00165B78"/>
    <w:rsid w:val="00172EB9"/>
    <w:rsid w:val="001B57FA"/>
    <w:rsid w:val="001E190B"/>
    <w:rsid w:val="00245AC3"/>
    <w:rsid w:val="002515E7"/>
    <w:rsid w:val="00257EDC"/>
    <w:rsid w:val="00281C2A"/>
    <w:rsid w:val="002B3BE3"/>
    <w:rsid w:val="002B7E60"/>
    <w:rsid w:val="00303736"/>
    <w:rsid w:val="00307A6B"/>
    <w:rsid w:val="00376FB3"/>
    <w:rsid w:val="00381D9A"/>
    <w:rsid w:val="00394CFA"/>
    <w:rsid w:val="003950FD"/>
    <w:rsid w:val="003C7D24"/>
    <w:rsid w:val="003D3921"/>
    <w:rsid w:val="003E3E2B"/>
    <w:rsid w:val="003E6794"/>
    <w:rsid w:val="003F086A"/>
    <w:rsid w:val="003F31E6"/>
    <w:rsid w:val="00406AEB"/>
    <w:rsid w:val="00406F18"/>
    <w:rsid w:val="0043769A"/>
    <w:rsid w:val="0044655C"/>
    <w:rsid w:val="00450DAF"/>
    <w:rsid w:val="004523CE"/>
    <w:rsid w:val="00461E31"/>
    <w:rsid w:val="0046651F"/>
    <w:rsid w:val="00466695"/>
    <w:rsid w:val="004A0749"/>
    <w:rsid w:val="004B782F"/>
    <w:rsid w:val="004D59F0"/>
    <w:rsid w:val="004E1491"/>
    <w:rsid w:val="004E3261"/>
    <w:rsid w:val="004F7315"/>
    <w:rsid w:val="0052556D"/>
    <w:rsid w:val="005310A5"/>
    <w:rsid w:val="00540C71"/>
    <w:rsid w:val="005541C6"/>
    <w:rsid w:val="00556E7A"/>
    <w:rsid w:val="00557B77"/>
    <w:rsid w:val="00561FD3"/>
    <w:rsid w:val="00581953"/>
    <w:rsid w:val="00584547"/>
    <w:rsid w:val="0058744C"/>
    <w:rsid w:val="0059042C"/>
    <w:rsid w:val="005D5815"/>
    <w:rsid w:val="005F70B0"/>
    <w:rsid w:val="00624D52"/>
    <w:rsid w:val="00647B45"/>
    <w:rsid w:val="00677025"/>
    <w:rsid w:val="00697260"/>
    <w:rsid w:val="006A0C47"/>
    <w:rsid w:val="006B0B58"/>
    <w:rsid w:val="006B0E47"/>
    <w:rsid w:val="006F6277"/>
    <w:rsid w:val="006F76D3"/>
    <w:rsid w:val="007015D6"/>
    <w:rsid w:val="00710485"/>
    <w:rsid w:val="00722B18"/>
    <w:rsid w:val="0072465B"/>
    <w:rsid w:val="00730DF4"/>
    <w:rsid w:val="00736112"/>
    <w:rsid w:val="00743E6F"/>
    <w:rsid w:val="007478D3"/>
    <w:rsid w:val="00777603"/>
    <w:rsid w:val="00780F76"/>
    <w:rsid w:val="00782D17"/>
    <w:rsid w:val="0078342B"/>
    <w:rsid w:val="00790616"/>
    <w:rsid w:val="00794412"/>
    <w:rsid w:val="007A2CB4"/>
    <w:rsid w:val="007B1039"/>
    <w:rsid w:val="007B36FF"/>
    <w:rsid w:val="007B46CC"/>
    <w:rsid w:val="007E7D63"/>
    <w:rsid w:val="007F4FBC"/>
    <w:rsid w:val="00801B46"/>
    <w:rsid w:val="0083174E"/>
    <w:rsid w:val="00844C8F"/>
    <w:rsid w:val="00863331"/>
    <w:rsid w:val="00865EAA"/>
    <w:rsid w:val="00866B73"/>
    <w:rsid w:val="008B1983"/>
    <w:rsid w:val="008D439D"/>
    <w:rsid w:val="008E54E1"/>
    <w:rsid w:val="008E6838"/>
    <w:rsid w:val="008F7639"/>
    <w:rsid w:val="009102CD"/>
    <w:rsid w:val="0091224B"/>
    <w:rsid w:val="009252B4"/>
    <w:rsid w:val="0093699E"/>
    <w:rsid w:val="00936EF5"/>
    <w:rsid w:val="00937007"/>
    <w:rsid w:val="0094762D"/>
    <w:rsid w:val="00963914"/>
    <w:rsid w:val="00992212"/>
    <w:rsid w:val="009A03FB"/>
    <w:rsid w:val="009D08E5"/>
    <w:rsid w:val="009D4CD4"/>
    <w:rsid w:val="009D5F0D"/>
    <w:rsid w:val="009E2ECB"/>
    <w:rsid w:val="00A003CD"/>
    <w:rsid w:val="00A00A15"/>
    <w:rsid w:val="00A050BA"/>
    <w:rsid w:val="00A2307E"/>
    <w:rsid w:val="00A56645"/>
    <w:rsid w:val="00A70E7B"/>
    <w:rsid w:val="00A85CE0"/>
    <w:rsid w:val="00AA158A"/>
    <w:rsid w:val="00AC5F88"/>
    <w:rsid w:val="00AD114A"/>
    <w:rsid w:val="00AE4801"/>
    <w:rsid w:val="00AF7973"/>
    <w:rsid w:val="00B15262"/>
    <w:rsid w:val="00B15436"/>
    <w:rsid w:val="00B2630B"/>
    <w:rsid w:val="00B40B2A"/>
    <w:rsid w:val="00B81029"/>
    <w:rsid w:val="00B85DE3"/>
    <w:rsid w:val="00B939F0"/>
    <w:rsid w:val="00BC1EBB"/>
    <w:rsid w:val="00BE3336"/>
    <w:rsid w:val="00BE7173"/>
    <w:rsid w:val="00BF1877"/>
    <w:rsid w:val="00BF7B74"/>
    <w:rsid w:val="00C03BD0"/>
    <w:rsid w:val="00C15E4D"/>
    <w:rsid w:val="00C400D9"/>
    <w:rsid w:val="00C46D63"/>
    <w:rsid w:val="00C50204"/>
    <w:rsid w:val="00C95D26"/>
    <w:rsid w:val="00CA3A64"/>
    <w:rsid w:val="00CD583E"/>
    <w:rsid w:val="00CE11FE"/>
    <w:rsid w:val="00D047F5"/>
    <w:rsid w:val="00D05527"/>
    <w:rsid w:val="00D126E1"/>
    <w:rsid w:val="00D17BA6"/>
    <w:rsid w:val="00D802B4"/>
    <w:rsid w:val="00D947C1"/>
    <w:rsid w:val="00DA0498"/>
    <w:rsid w:val="00DB5B51"/>
    <w:rsid w:val="00DC4AF6"/>
    <w:rsid w:val="00DD70EA"/>
    <w:rsid w:val="00DE3688"/>
    <w:rsid w:val="00DE5E0F"/>
    <w:rsid w:val="00E104E4"/>
    <w:rsid w:val="00E130EE"/>
    <w:rsid w:val="00E14017"/>
    <w:rsid w:val="00E14AF5"/>
    <w:rsid w:val="00E16885"/>
    <w:rsid w:val="00E47A61"/>
    <w:rsid w:val="00E64389"/>
    <w:rsid w:val="00E65495"/>
    <w:rsid w:val="00E83359"/>
    <w:rsid w:val="00E84940"/>
    <w:rsid w:val="00EA629D"/>
    <w:rsid w:val="00EB1CBC"/>
    <w:rsid w:val="00EC758A"/>
    <w:rsid w:val="00EE4994"/>
    <w:rsid w:val="00F014B6"/>
    <w:rsid w:val="00F1359F"/>
    <w:rsid w:val="00F20EA6"/>
    <w:rsid w:val="00F2143C"/>
    <w:rsid w:val="00F33EEF"/>
    <w:rsid w:val="00F34958"/>
    <w:rsid w:val="00F37CF5"/>
    <w:rsid w:val="00F6771C"/>
    <w:rsid w:val="00FA2CD4"/>
    <w:rsid w:val="00FA53F6"/>
    <w:rsid w:val="00FB0485"/>
    <w:rsid w:val="00FD5242"/>
    <w:rsid w:val="00FE6DAE"/>
    <w:rsid w:val="00FF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A2C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AE"/>
  </w:style>
  <w:style w:type="paragraph" w:styleId="Footer">
    <w:name w:val="footer"/>
    <w:basedOn w:val="Normal"/>
    <w:link w:val="Foot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A2C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AE"/>
  </w:style>
  <w:style w:type="paragraph" w:styleId="Footer">
    <w:name w:val="footer"/>
    <w:basedOn w:val="Normal"/>
    <w:link w:val="FooterChar"/>
    <w:uiPriority w:val="99"/>
    <w:unhideWhenUsed/>
    <w:rsid w:val="00FE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B714-11EA-471D-9EA7-6EFEC5B7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2015-12-08T15:17:00Z</cp:lastPrinted>
  <dcterms:created xsi:type="dcterms:W3CDTF">2015-12-14T12:34:00Z</dcterms:created>
  <dcterms:modified xsi:type="dcterms:W3CDTF">2015-12-14T12:34:00Z</dcterms:modified>
</cp:coreProperties>
</file>